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F8A" w:rsidRDefault="00537E29">
      <w:pPr>
        <w:spacing w:after="191" w:line="259" w:lineRule="auto"/>
        <w:ind w:left="280" w:firstLine="0"/>
        <w:jc w:val="center"/>
      </w:pPr>
      <w:r>
        <w:rPr>
          <w:noProof/>
        </w:rPr>
        <w:drawing>
          <wp:anchor distT="0" distB="0" distL="114300" distR="114300" simplePos="0" relativeHeight="251659264" behindDoc="0" locked="0" layoutInCell="1" allowOverlap="0" wp14:anchorId="03D135DA" wp14:editId="0C0B91F6">
            <wp:simplePos x="0" y="0"/>
            <wp:positionH relativeFrom="margin">
              <wp:posOffset>-123825</wp:posOffset>
            </wp:positionH>
            <wp:positionV relativeFrom="margin">
              <wp:posOffset>-352425</wp:posOffset>
            </wp:positionV>
            <wp:extent cx="2686050" cy="268605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7"/>
                    <a:stretch>
                      <a:fillRect/>
                    </a:stretch>
                  </pic:blipFill>
                  <pic:spPr>
                    <a:xfrm>
                      <a:off x="0" y="0"/>
                      <a:ext cx="2686050" cy="2686050"/>
                    </a:xfrm>
                    <a:prstGeom prst="rect">
                      <a:avLst/>
                    </a:prstGeom>
                  </pic:spPr>
                </pic:pic>
              </a:graphicData>
            </a:graphic>
          </wp:anchor>
        </w:drawing>
      </w:r>
      <w:r>
        <w:rPr>
          <w:rFonts w:ascii="Georgia" w:eastAsia="Georgia" w:hAnsi="Georgia" w:cs="Georgia"/>
          <w:b/>
          <w:color w:val="005A9E"/>
          <w:sz w:val="72"/>
        </w:rPr>
        <w:t xml:space="preserve"> </w:t>
      </w:r>
    </w:p>
    <w:p w:rsidR="00B17F8A" w:rsidRDefault="00537E29" w:rsidP="00537E29">
      <w:pPr>
        <w:spacing w:after="0" w:line="259" w:lineRule="auto"/>
        <w:ind w:left="280" w:right="381" w:firstLine="0"/>
      </w:pPr>
      <w:r>
        <w:rPr>
          <w:rFonts w:ascii="Georgia" w:eastAsia="Georgia" w:hAnsi="Georgia" w:cs="Georgia"/>
          <w:b/>
          <w:color w:val="005A9E"/>
          <w:sz w:val="76"/>
        </w:rPr>
        <w:t xml:space="preserve">St Luke’s C.E. </w:t>
      </w:r>
    </w:p>
    <w:p w:rsidR="00B17F8A" w:rsidRDefault="00537E29" w:rsidP="00537E29">
      <w:pPr>
        <w:spacing w:after="111" w:line="259" w:lineRule="auto"/>
        <w:ind w:left="280" w:firstLine="0"/>
      </w:pPr>
      <w:r>
        <w:rPr>
          <w:rFonts w:ascii="Georgia" w:eastAsia="Georgia" w:hAnsi="Georgia" w:cs="Georgia"/>
          <w:b/>
          <w:color w:val="005A9E"/>
          <w:sz w:val="76"/>
        </w:rPr>
        <w:t>Primary S</w:t>
      </w:r>
      <w:r>
        <w:rPr>
          <w:rFonts w:ascii="Georgia" w:eastAsia="Georgia" w:hAnsi="Georgia" w:cs="Georgia"/>
          <w:b/>
          <w:color w:val="005A9E"/>
          <w:sz w:val="76"/>
        </w:rPr>
        <w:t xml:space="preserve">chool </w:t>
      </w:r>
      <w:bookmarkStart w:id="0" w:name="_GoBack"/>
      <w:bookmarkEnd w:id="0"/>
    </w:p>
    <w:p w:rsidR="00B17F8A" w:rsidRDefault="00537E29">
      <w:pPr>
        <w:spacing w:after="0" w:line="259" w:lineRule="auto"/>
        <w:ind w:left="280" w:firstLine="0"/>
        <w:jc w:val="center"/>
      </w:pPr>
      <w:r>
        <w:rPr>
          <w:rFonts w:ascii="Georgia" w:eastAsia="Georgia" w:hAnsi="Georgia" w:cs="Georgia"/>
          <w:b/>
          <w:color w:val="005A9E"/>
          <w:sz w:val="72"/>
        </w:rPr>
        <w:t xml:space="preserve"> </w:t>
      </w:r>
    </w:p>
    <w:p w:rsidR="00B17F8A" w:rsidRDefault="00537E29">
      <w:pPr>
        <w:spacing w:after="154" w:line="259" w:lineRule="auto"/>
        <w:ind w:left="659" w:firstLine="0"/>
        <w:jc w:val="center"/>
      </w:pPr>
      <w:r>
        <w:rPr>
          <w:rFonts w:ascii="Georgia" w:eastAsia="Georgia" w:hAnsi="Georgia" w:cs="Georgia"/>
          <w:b/>
          <w:color w:val="005A9E"/>
          <w:sz w:val="40"/>
        </w:rPr>
        <w:t xml:space="preserve"> </w:t>
      </w:r>
    </w:p>
    <w:p w:rsidR="00B17F8A" w:rsidRDefault="00537E29">
      <w:pPr>
        <w:spacing w:after="190" w:line="259" w:lineRule="auto"/>
        <w:ind w:left="659" w:firstLine="0"/>
        <w:jc w:val="center"/>
      </w:pPr>
      <w:r>
        <w:rPr>
          <w:rFonts w:ascii="Georgia" w:eastAsia="Georgia" w:hAnsi="Georgia" w:cs="Georgia"/>
          <w:b/>
          <w:color w:val="005A9E"/>
          <w:sz w:val="40"/>
        </w:rPr>
        <w:t xml:space="preserve"> </w:t>
      </w:r>
    </w:p>
    <w:p w:rsidR="00B17F8A" w:rsidRDefault="00537E29">
      <w:pPr>
        <w:spacing w:after="0" w:line="259" w:lineRule="auto"/>
        <w:ind w:left="0" w:firstLine="0"/>
      </w:pPr>
      <w:r>
        <w:rPr>
          <w:rFonts w:ascii="Georgia" w:eastAsia="Georgia" w:hAnsi="Georgia" w:cs="Georgia"/>
          <w:b/>
          <w:color w:val="005A9E"/>
          <w:sz w:val="44"/>
        </w:rPr>
        <w:t xml:space="preserve"> </w:t>
      </w:r>
    </w:p>
    <w:p w:rsidR="00B17F8A" w:rsidRDefault="00537E29">
      <w:pPr>
        <w:spacing w:after="45" w:line="259" w:lineRule="auto"/>
        <w:ind w:left="806" w:firstLine="0"/>
      </w:pPr>
      <w:r>
        <w:rPr>
          <w:rFonts w:ascii="Calibri" w:eastAsia="Calibri" w:hAnsi="Calibri" w:cs="Calibri"/>
          <w:noProof/>
          <w:sz w:val="22"/>
        </w:rPr>
        <mc:AlternateContent>
          <mc:Choice Requires="wpg">
            <w:drawing>
              <wp:inline distT="0" distB="0" distL="0" distR="0">
                <wp:extent cx="5772785" cy="31750"/>
                <wp:effectExtent l="0" t="0" r="0" b="0"/>
                <wp:docPr id="5332" name="Group 5332"/>
                <wp:cNvGraphicFramePr/>
                <a:graphic xmlns:a="http://schemas.openxmlformats.org/drawingml/2006/main">
                  <a:graphicData uri="http://schemas.microsoft.com/office/word/2010/wordprocessingGroup">
                    <wpg:wgp>
                      <wpg:cNvGrpSpPr/>
                      <wpg:grpSpPr>
                        <a:xfrm>
                          <a:off x="0" y="0"/>
                          <a:ext cx="5772785" cy="31750"/>
                          <a:chOff x="0" y="0"/>
                          <a:chExt cx="5772785" cy="31750"/>
                        </a:xfrm>
                      </wpg:grpSpPr>
                      <wps:wsp>
                        <wps:cNvPr id="34" name="Shape 34"/>
                        <wps:cNvSpPr/>
                        <wps:spPr>
                          <a:xfrm>
                            <a:off x="0" y="0"/>
                            <a:ext cx="5772785" cy="0"/>
                          </a:xfrm>
                          <a:custGeom>
                            <a:avLst/>
                            <a:gdLst/>
                            <a:ahLst/>
                            <a:cxnLst/>
                            <a:rect l="0" t="0" r="0" b="0"/>
                            <a:pathLst>
                              <a:path w="5772785">
                                <a:moveTo>
                                  <a:pt x="0" y="0"/>
                                </a:moveTo>
                                <a:lnTo>
                                  <a:pt x="5772785" y="0"/>
                                </a:lnTo>
                              </a:path>
                            </a:pathLst>
                          </a:custGeom>
                          <a:ln w="31750" cap="flat">
                            <a:miter lim="127000"/>
                          </a:ln>
                        </wps:spPr>
                        <wps:style>
                          <a:lnRef idx="1">
                            <a:srgbClr val="4472C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32" style="width:454.55pt;height:2.5pt;mso-position-horizontal-relative:char;mso-position-vertical-relative:line" coordsize="57727,317">
                <v:shape id="Shape 34" style="position:absolute;width:57727;height:0;left:0;top:0;" coordsize="5772785,0" path="m0,0l5772785,0">
                  <v:stroke weight="2.5pt" endcap="flat" joinstyle="miter" miterlimit="10" on="true" color="#4472c4"/>
                  <v:fill on="false" color="#000000" opacity="0"/>
                </v:shape>
              </v:group>
            </w:pict>
          </mc:Fallback>
        </mc:AlternateContent>
      </w:r>
    </w:p>
    <w:p w:rsidR="00B17F8A" w:rsidRDefault="00537E29">
      <w:pPr>
        <w:spacing w:after="411" w:line="259" w:lineRule="auto"/>
        <w:ind w:left="669" w:firstLine="0"/>
        <w:jc w:val="center"/>
      </w:pPr>
      <w:r>
        <w:rPr>
          <w:rFonts w:ascii="Georgia" w:eastAsia="Georgia" w:hAnsi="Georgia" w:cs="Georgia"/>
          <w:b/>
          <w:color w:val="005A9E"/>
          <w:sz w:val="44"/>
        </w:rPr>
        <w:t xml:space="preserve"> </w:t>
      </w:r>
    </w:p>
    <w:p w:rsidR="00B17F8A" w:rsidRDefault="00537E29">
      <w:pPr>
        <w:spacing w:after="0" w:line="304" w:lineRule="auto"/>
        <w:ind w:left="103" w:firstLine="0"/>
        <w:jc w:val="center"/>
      </w:pPr>
      <w:r>
        <w:rPr>
          <w:rFonts w:ascii="Georgia" w:eastAsia="Georgia" w:hAnsi="Georgia" w:cs="Georgia"/>
          <w:b/>
          <w:color w:val="005A9E"/>
          <w:sz w:val="72"/>
        </w:rPr>
        <w:t>SEN Information Report October 2025</w:t>
      </w:r>
      <w:r>
        <w:rPr>
          <w:rFonts w:ascii="Georgia" w:eastAsia="Georgia" w:hAnsi="Georgia" w:cs="Georgia"/>
          <w:b/>
          <w:color w:val="005A9E"/>
          <w:sz w:val="72"/>
        </w:rPr>
        <w:t xml:space="preserve"> </w:t>
      </w:r>
    </w:p>
    <w:p w:rsidR="00B17F8A" w:rsidRDefault="00537E29">
      <w:pPr>
        <w:spacing w:after="0" w:line="259" w:lineRule="auto"/>
        <w:ind w:left="669" w:firstLine="0"/>
        <w:jc w:val="center"/>
      </w:pPr>
      <w:r>
        <w:rPr>
          <w:rFonts w:ascii="Georgia" w:eastAsia="Georgia" w:hAnsi="Georgia" w:cs="Georgia"/>
          <w:b/>
          <w:color w:val="005A9E"/>
          <w:sz w:val="44"/>
        </w:rPr>
        <w:t xml:space="preserve"> </w:t>
      </w:r>
    </w:p>
    <w:p w:rsidR="00B17F8A" w:rsidRDefault="00537E29">
      <w:pPr>
        <w:spacing w:after="239" w:line="259" w:lineRule="auto"/>
        <w:ind w:left="805" w:firstLine="0"/>
      </w:pPr>
      <w:r>
        <w:rPr>
          <w:rFonts w:ascii="Calibri" w:eastAsia="Calibri" w:hAnsi="Calibri" w:cs="Calibri"/>
          <w:noProof/>
          <w:sz w:val="22"/>
        </w:rPr>
        <mc:AlternateContent>
          <mc:Choice Requires="wpg">
            <w:drawing>
              <wp:inline distT="0" distB="0" distL="0" distR="0">
                <wp:extent cx="5772785" cy="31750"/>
                <wp:effectExtent l="0" t="0" r="0" b="0"/>
                <wp:docPr id="5334" name="Group 5334"/>
                <wp:cNvGraphicFramePr/>
                <a:graphic xmlns:a="http://schemas.openxmlformats.org/drawingml/2006/main">
                  <a:graphicData uri="http://schemas.microsoft.com/office/word/2010/wordprocessingGroup">
                    <wpg:wgp>
                      <wpg:cNvGrpSpPr/>
                      <wpg:grpSpPr>
                        <a:xfrm>
                          <a:off x="0" y="0"/>
                          <a:ext cx="5772785" cy="31750"/>
                          <a:chOff x="0" y="0"/>
                          <a:chExt cx="5772785" cy="31750"/>
                        </a:xfrm>
                      </wpg:grpSpPr>
                      <wps:wsp>
                        <wps:cNvPr id="37" name="Shape 37"/>
                        <wps:cNvSpPr/>
                        <wps:spPr>
                          <a:xfrm>
                            <a:off x="0" y="0"/>
                            <a:ext cx="5772785" cy="0"/>
                          </a:xfrm>
                          <a:custGeom>
                            <a:avLst/>
                            <a:gdLst/>
                            <a:ahLst/>
                            <a:cxnLst/>
                            <a:rect l="0" t="0" r="0" b="0"/>
                            <a:pathLst>
                              <a:path w="5772785">
                                <a:moveTo>
                                  <a:pt x="0" y="0"/>
                                </a:moveTo>
                                <a:lnTo>
                                  <a:pt x="5772785" y="0"/>
                                </a:lnTo>
                              </a:path>
                            </a:pathLst>
                          </a:custGeom>
                          <a:ln w="31750" cap="flat">
                            <a:miter lim="127000"/>
                          </a:ln>
                        </wps:spPr>
                        <wps:style>
                          <a:lnRef idx="1">
                            <a:srgbClr val="4472C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34" style="width:454.55pt;height:2.5pt;mso-position-horizontal-relative:char;mso-position-vertical-relative:line" coordsize="57727,317">
                <v:shape id="Shape 37" style="position:absolute;width:57727;height:0;left:0;top:0;" coordsize="5772785,0" path="m0,0l5772785,0">
                  <v:stroke weight="2.5pt" endcap="flat" joinstyle="miter" miterlimit="10" on="true" color="#4472c4"/>
                  <v:fill on="false" color="#000000" opacity="0"/>
                </v:shape>
              </v:group>
            </w:pict>
          </mc:Fallback>
        </mc:AlternateContent>
      </w:r>
    </w:p>
    <w:p w:rsidR="00B17F8A" w:rsidRDefault="00537E29">
      <w:pPr>
        <w:spacing w:after="155" w:line="259" w:lineRule="auto"/>
        <w:ind w:left="669" w:firstLine="0"/>
        <w:jc w:val="center"/>
      </w:pPr>
      <w:r>
        <w:rPr>
          <w:rFonts w:ascii="Georgia" w:eastAsia="Georgia" w:hAnsi="Georgia" w:cs="Georgia"/>
          <w:b/>
          <w:color w:val="005A9E"/>
          <w:sz w:val="44"/>
        </w:rPr>
        <w:t xml:space="preserve"> </w:t>
      </w:r>
    </w:p>
    <w:p w:rsidR="00B17F8A" w:rsidRDefault="00537E29">
      <w:pPr>
        <w:spacing w:after="11" w:line="259" w:lineRule="auto"/>
        <w:ind w:left="0" w:firstLine="0"/>
      </w:pPr>
      <w:r>
        <w:rPr>
          <w:rFonts w:ascii="Georgia" w:eastAsia="Georgia" w:hAnsi="Georgia" w:cs="Georgia"/>
          <w:b/>
          <w:color w:val="005A9E"/>
          <w:sz w:val="44"/>
        </w:rPr>
        <w:t xml:space="preserve"> </w:t>
      </w:r>
    </w:p>
    <w:p w:rsidR="00B17F8A" w:rsidRDefault="00537E29">
      <w:pPr>
        <w:spacing w:after="154" w:line="259" w:lineRule="auto"/>
        <w:ind w:left="0" w:firstLine="0"/>
      </w:pPr>
      <w:r>
        <w:rPr>
          <w:rFonts w:ascii="Georgia" w:eastAsia="Georgia" w:hAnsi="Georgia" w:cs="Georgia"/>
          <w:b/>
          <w:color w:val="005A9E"/>
          <w:sz w:val="28"/>
        </w:rPr>
        <w:t xml:space="preserve"> </w:t>
      </w:r>
    </w:p>
    <w:p w:rsidR="00B17F8A" w:rsidRDefault="00537E29">
      <w:pPr>
        <w:spacing w:after="84" w:line="259" w:lineRule="auto"/>
        <w:ind w:left="0" w:firstLine="0"/>
      </w:pPr>
      <w:r>
        <w:rPr>
          <w:rFonts w:ascii="Georgia" w:eastAsia="Georgia" w:hAnsi="Georgia" w:cs="Georgia"/>
          <w:b/>
          <w:color w:val="005A9E"/>
          <w:sz w:val="28"/>
        </w:rPr>
        <w:t xml:space="preserve"> </w:t>
      </w:r>
    </w:p>
    <w:p w:rsidR="00B17F8A" w:rsidRDefault="00537E29">
      <w:pPr>
        <w:spacing w:after="255" w:line="259" w:lineRule="auto"/>
        <w:ind w:left="0" w:firstLine="0"/>
      </w:pPr>
      <w:r>
        <w:rPr>
          <w:rFonts w:ascii="Georgia" w:eastAsia="Georgia" w:hAnsi="Georgia" w:cs="Georgia"/>
          <w:b/>
          <w:color w:val="005A9E"/>
          <w:sz w:val="20"/>
        </w:rPr>
        <w:t xml:space="preserve"> </w:t>
      </w:r>
    </w:p>
    <w:p w:rsidR="00B17F8A" w:rsidRDefault="00537E29">
      <w:pPr>
        <w:spacing w:after="254" w:line="259" w:lineRule="auto"/>
        <w:ind w:left="-5"/>
      </w:pPr>
      <w:proofErr w:type="spellStart"/>
      <w:r>
        <w:rPr>
          <w:rFonts w:ascii="Georgia" w:eastAsia="Georgia" w:hAnsi="Georgia" w:cs="Georgia"/>
          <w:b/>
          <w:color w:val="005A9E"/>
          <w:sz w:val="20"/>
        </w:rPr>
        <w:t>Langport</w:t>
      </w:r>
      <w:proofErr w:type="spellEnd"/>
      <w:r>
        <w:rPr>
          <w:rFonts w:ascii="Georgia" w:eastAsia="Georgia" w:hAnsi="Georgia" w:cs="Georgia"/>
          <w:b/>
          <w:color w:val="005A9E"/>
          <w:sz w:val="20"/>
        </w:rPr>
        <w:t xml:space="preserve"> Avenue </w:t>
      </w:r>
    </w:p>
    <w:p w:rsidR="00B17F8A" w:rsidRDefault="00537E29">
      <w:pPr>
        <w:spacing w:after="254" w:line="259" w:lineRule="auto"/>
        <w:ind w:left="-5"/>
      </w:pPr>
      <w:r>
        <w:rPr>
          <w:rFonts w:ascii="Georgia" w:eastAsia="Georgia" w:hAnsi="Georgia" w:cs="Georgia"/>
          <w:b/>
          <w:color w:val="005A9E"/>
          <w:sz w:val="20"/>
        </w:rPr>
        <w:t xml:space="preserve">Longsight </w:t>
      </w:r>
    </w:p>
    <w:p w:rsidR="00B17F8A" w:rsidRDefault="00537E29">
      <w:pPr>
        <w:pStyle w:val="Heading1"/>
        <w:spacing w:after="254" w:line="527" w:lineRule="auto"/>
        <w:ind w:left="-5" w:right="8547"/>
      </w:pPr>
      <w:r>
        <w:rPr>
          <w:rFonts w:ascii="Georgia" w:eastAsia="Georgia" w:hAnsi="Georgia" w:cs="Georgia"/>
          <w:color w:val="005A9E"/>
          <w:sz w:val="20"/>
        </w:rPr>
        <w:t>Manchester M12 4NG</w:t>
      </w:r>
    </w:p>
    <w:p w:rsidR="00B17F8A" w:rsidRDefault="00B17F8A">
      <w:pPr>
        <w:sectPr w:rsidR="00B17F8A">
          <w:footerReference w:type="even" r:id="rId8"/>
          <w:footerReference w:type="default" r:id="rId9"/>
          <w:footerReference w:type="first" r:id="rId10"/>
          <w:pgSz w:w="12240" w:h="15840"/>
          <w:pgMar w:top="1440" w:right="1275" w:bottom="1440" w:left="720" w:header="720" w:footer="720" w:gutter="0"/>
          <w:cols w:space="720"/>
        </w:sectPr>
      </w:pPr>
    </w:p>
    <w:p w:rsidR="00B17F8A" w:rsidRDefault="00537E29">
      <w:pPr>
        <w:ind w:left="-5"/>
      </w:pPr>
      <w:r>
        <w:lastRenderedPageBreak/>
        <w:t>The Special Educational Needs and Disability Regulations 2014 require the school to publish certain information regarding our provision for pupils with SENDD. We hope parents of current and prospective pupils find the following information helpful and we e</w:t>
      </w:r>
      <w:r>
        <w:t xml:space="preserve">ncourage all interested parties to contact the school for more information. </w:t>
      </w:r>
    </w:p>
    <w:p w:rsidR="00B17F8A" w:rsidRDefault="00537E29">
      <w:pPr>
        <w:shd w:val="clear" w:color="auto" w:fill="00B0F0"/>
        <w:spacing w:after="163" w:line="259" w:lineRule="auto"/>
        <w:ind w:left="-5"/>
      </w:pPr>
      <w:r>
        <w:rPr>
          <w:b/>
        </w:rPr>
        <w:t xml:space="preserve">Our approach and ethos for supporting children with special educational needs: </w:t>
      </w:r>
    </w:p>
    <w:p w:rsidR="00B17F8A" w:rsidRDefault="00537E29">
      <w:pPr>
        <w:ind w:left="-5"/>
      </w:pPr>
      <w:r>
        <w:t>At St Luke’s C.E. Primary School we ensure that we support the needs of each child as an individual</w:t>
      </w:r>
      <w:r>
        <w:t xml:space="preserve">. We have high aspirations for all our children to achieve the best that they can for their ability and personal needs. Children have access to high quality teaching within the classroom, focused interventions and support where needed as well support from </w:t>
      </w:r>
      <w:r>
        <w:t>specialist services if and when appropriate. When a child is identified by their class teacher as having additional needs we use a graduated approach to support and identify the additional support a child may require. We have a continuum of need which incl</w:t>
      </w:r>
      <w:r>
        <w:t xml:space="preserve">ude the following areas: </w:t>
      </w:r>
    </w:p>
    <w:p w:rsidR="00B17F8A" w:rsidRDefault="00537E29">
      <w:pPr>
        <w:numPr>
          <w:ilvl w:val="0"/>
          <w:numId w:val="1"/>
        </w:numPr>
        <w:spacing w:after="25"/>
        <w:ind w:hanging="360"/>
      </w:pPr>
      <w:r>
        <w:t>First Concerns – a teacher has concerns and additional interventions may be offered</w:t>
      </w:r>
      <w:r>
        <w:rPr>
          <w:b/>
        </w:rPr>
        <w:t xml:space="preserve"> </w:t>
      </w:r>
    </w:p>
    <w:p w:rsidR="00B17F8A" w:rsidRDefault="00537E29">
      <w:pPr>
        <w:numPr>
          <w:ilvl w:val="0"/>
          <w:numId w:val="1"/>
        </w:numPr>
        <w:spacing w:after="25"/>
        <w:ind w:hanging="360"/>
      </w:pPr>
      <w:r>
        <w:t>SEND Support – children who have been identified as having additional needs and require provision that is additional to and different from the ma</w:t>
      </w:r>
      <w:r>
        <w:t>instream curriculum – IEPs are in place.</w:t>
      </w:r>
      <w:r>
        <w:rPr>
          <w:b/>
        </w:rPr>
        <w:t xml:space="preserve"> </w:t>
      </w:r>
    </w:p>
    <w:p w:rsidR="00B17F8A" w:rsidRDefault="00537E29">
      <w:pPr>
        <w:numPr>
          <w:ilvl w:val="0"/>
          <w:numId w:val="1"/>
        </w:numPr>
        <w:spacing w:after="25"/>
        <w:ind w:hanging="360"/>
      </w:pPr>
      <w:r>
        <w:t>Complex - children who have been identified as having complex and significant needs and may be in the process of an EHC assessment or have an EHC in place</w:t>
      </w:r>
      <w:r>
        <w:rPr>
          <w:b/>
        </w:rPr>
        <w:t xml:space="preserve"> </w:t>
      </w:r>
    </w:p>
    <w:p w:rsidR="00B17F8A" w:rsidRDefault="00537E29">
      <w:pPr>
        <w:numPr>
          <w:ilvl w:val="0"/>
          <w:numId w:val="1"/>
        </w:numPr>
        <w:ind w:hanging="360"/>
      </w:pPr>
      <w:r>
        <w:t>Specialist – children who have an EHCP and are receiving e</w:t>
      </w:r>
      <w:r>
        <w:t>ducation in a specialist provision</w:t>
      </w:r>
      <w:r>
        <w:rPr>
          <w:b/>
        </w:rPr>
        <w:t xml:space="preserve"> </w:t>
      </w:r>
    </w:p>
    <w:p w:rsidR="00B17F8A" w:rsidRDefault="00537E29">
      <w:pPr>
        <w:shd w:val="clear" w:color="auto" w:fill="00B0F0"/>
        <w:spacing w:after="163" w:line="259" w:lineRule="auto"/>
        <w:ind w:left="-5"/>
      </w:pPr>
      <w:r>
        <w:rPr>
          <w:b/>
        </w:rPr>
        <w:t xml:space="preserve">We provide for the following kinds of special educational needs (SEND): </w:t>
      </w:r>
    </w:p>
    <w:p w:rsidR="00B17F8A" w:rsidRDefault="00537E29">
      <w:pPr>
        <w:ind w:left="-5"/>
      </w:pPr>
      <w:r>
        <w:t>We are an inclusive mainstream setting catering for children and young people with a wide range of needs who are able to demonstrate capacity for a</w:t>
      </w:r>
      <w:r>
        <w:t>ccessing the mainstream curriculum with differentiation and support. We also support and work with children who have a range of complex needs and require a bespoke curriculum that focuses on their individual needs supported by our dedicated team of staff a</w:t>
      </w:r>
      <w:r>
        <w:t xml:space="preserve">nd outside agency support. </w:t>
      </w:r>
    </w:p>
    <w:p w:rsidR="00B17F8A" w:rsidRDefault="00537E29">
      <w:pPr>
        <w:spacing w:after="7"/>
        <w:ind w:left="-5"/>
      </w:pPr>
      <w:r>
        <w:t xml:space="preserve">We support pupils with a range of needs including Cognition and Learning needs, </w:t>
      </w:r>
    </w:p>
    <w:p w:rsidR="00B17F8A" w:rsidRDefault="00537E29">
      <w:pPr>
        <w:ind w:left="-5"/>
      </w:pPr>
      <w:r>
        <w:t xml:space="preserve">Communication and interaction Difficulties, Visual and Hearing Impairments, Physical needs, ASD, Speech and Language Disorder and Delay, Social, Emotional and Mental Health Difficulties. </w:t>
      </w:r>
    </w:p>
    <w:p w:rsidR="00B17F8A" w:rsidRDefault="00537E29">
      <w:pPr>
        <w:shd w:val="clear" w:color="auto" w:fill="00B0F0"/>
        <w:spacing w:after="163" w:line="259" w:lineRule="auto"/>
        <w:ind w:left="-5"/>
      </w:pPr>
      <w:r>
        <w:rPr>
          <w:b/>
        </w:rPr>
        <w:t>We identify and assess pupils with SEND using the following methods:</w:t>
      </w:r>
      <w:r>
        <w:rPr>
          <w:b/>
        </w:rPr>
        <w:t xml:space="preserve"> </w:t>
      </w:r>
    </w:p>
    <w:p w:rsidR="00B17F8A" w:rsidRDefault="00537E29">
      <w:pPr>
        <w:ind w:left="-5"/>
      </w:pPr>
      <w:r>
        <w:t>Children with SEND are identified as early as possible within our school through discussion with class teachers, teaching assistants (where appropriate) and parents. Initial identification may typically come from school staff working directly with the ch</w:t>
      </w:r>
      <w:r>
        <w:t>ild or from concerns brought by parents or carers. These concerns might be based on a pupil’s wellbeing, their emotional or behavioural presentation, their progress in comparison to their peer group or their profile against recognised characteristics of sp</w:t>
      </w:r>
      <w:r>
        <w:t xml:space="preserve">ecific forms of SEND. </w:t>
      </w:r>
    </w:p>
    <w:p w:rsidR="00B17F8A" w:rsidRDefault="00537E29">
      <w:pPr>
        <w:ind w:left="-5"/>
      </w:pPr>
      <w:r>
        <w:lastRenderedPageBreak/>
        <w:t xml:space="preserve">Early identification is paramount, therefore staff working in school monitor children’s progress every term though pupil progress meetings and discuss the needs of each individual child. </w:t>
      </w:r>
    </w:p>
    <w:p w:rsidR="00B17F8A" w:rsidRDefault="00537E29">
      <w:pPr>
        <w:ind w:left="-5"/>
      </w:pPr>
      <w:r>
        <w:t>Following identification, concerns are brough</w:t>
      </w:r>
      <w:r>
        <w:t>t to the attention of the SENCO who discusses them with school staff working with the pupil, the pupil’s family and the pupil themselves, if appropriate. This discussion focuses on the desired outcomes for the child and looks at what provision might be nec</w:t>
      </w:r>
      <w:r>
        <w:t xml:space="preserve">essary to enable the child to reach those outcomes. </w:t>
      </w:r>
    </w:p>
    <w:p w:rsidR="00B17F8A" w:rsidRDefault="00537E29">
      <w:pPr>
        <w:ind w:left="-5"/>
      </w:pPr>
      <w:r>
        <w:t xml:space="preserve">Depending on the level of the child’s needs, the decision might be made to offer additional support within the classroom, for example, advice might be offered to the class teacher in order to support an </w:t>
      </w:r>
      <w:r>
        <w:t xml:space="preserve">individual curriculum for the pupil. For some pupils, in addition to the class-based support approaches, a package of out of class interventions might be offered. Those pupils with the highest levels of need might be referred to other agencies for further </w:t>
      </w:r>
      <w:r>
        <w:t xml:space="preserve">advice and support.  </w:t>
      </w:r>
    </w:p>
    <w:p w:rsidR="00B17F8A" w:rsidRDefault="00537E29">
      <w:pPr>
        <w:shd w:val="clear" w:color="auto" w:fill="00B0F0"/>
        <w:spacing w:after="163" w:line="259" w:lineRule="auto"/>
        <w:ind w:left="-5"/>
      </w:pPr>
      <w:r>
        <w:rPr>
          <w:b/>
        </w:rPr>
        <w:t xml:space="preserve">We evaluate the effectiveness of our SEND provision in the following ways: </w:t>
      </w:r>
    </w:p>
    <w:p w:rsidR="00B17F8A" w:rsidRDefault="00537E29">
      <w:pPr>
        <w:ind w:left="-5"/>
      </w:pPr>
      <w:r>
        <w:t xml:space="preserve">SEND pupils are championed at all pupil progress meetings, termly, by the assessment coordinator, where progress and attainment (numerical data and objective </w:t>
      </w:r>
      <w:r>
        <w:t xml:space="preserve">specific assessment) for all SEND pupils is reviewed and provision from the previous term is evaluated. New targets and provision mapping </w:t>
      </w:r>
      <w:proofErr w:type="gramStart"/>
      <w:r>
        <w:t>is</w:t>
      </w:r>
      <w:proofErr w:type="gramEnd"/>
      <w:r>
        <w:t xml:space="preserve"> then set up for the term ahead. In addition, pupil voice is conducted on a regular basis with all SEND pupils and i</w:t>
      </w:r>
      <w:r>
        <w:t xml:space="preserve">nterventions and support activities are observed to evaluate their quality and impact. </w:t>
      </w:r>
    </w:p>
    <w:p w:rsidR="00B17F8A" w:rsidRDefault="00537E29">
      <w:pPr>
        <w:shd w:val="clear" w:color="auto" w:fill="00B0F0"/>
        <w:spacing w:after="184" w:line="259" w:lineRule="auto"/>
        <w:ind w:left="-5"/>
      </w:pPr>
      <w:r>
        <w:rPr>
          <w:b/>
        </w:rPr>
        <w:t xml:space="preserve">Our arrangements for assessing and reviewing the progress of pupils with SEND are as follows: </w:t>
      </w:r>
    </w:p>
    <w:p w:rsidR="00B17F8A" w:rsidRDefault="00537E29">
      <w:pPr>
        <w:ind w:left="-5"/>
      </w:pPr>
      <w:r>
        <w:t>All pupils are assessed on an on-going, formative basis using the school’</w:t>
      </w:r>
      <w:r>
        <w:t xml:space="preserve">s assessment and tracking system. Where this is appropriate, SEND pupils are assessed using this tool. Where needed, children are tracked using small step progression on an individual basis dependent on the child’s needs.  Individual provision mapping for </w:t>
      </w:r>
      <w:r>
        <w:t xml:space="preserve">each SEND pupil is completed and updated termly, with targets set for each term. These assessments are reviewed termly by the class teacher and SENCO. </w:t>
      </w:r>
    </w:p>
    <w:p w:rsidR="00B17F8A" w:rsidRDefault="00537E29">
      <w:pPr>
        <w:shd w:val="clear" w:color="auto" w:fill="00B0F0"/>
        <w:spacing w:after="163" w:line="259" w:lineRule="auto"/>
        <w:ind w:left="-5"/>
      </w:pPr>
      <w:r>
        <w:rPr>
          <w:b/>
        </w:rPr>
        <w:t xml:space="preserve">Our approach to teaching pupils with SEND includes: </w:t>
      </w:r>
    </w:p>
    <w:p w:rsidR="00B17F8A" w:rsidRDefault="00537E29">
      <w:pPr>
        <w:ind w:left="-5"/>
      </w:pPr>
      <w:r>
        <w:t>The school teaches pupils with SEND in accordance w</w:t>
      </w:r>
      <w:r>
        <w:t xml:space="preserve">ith the Manchester Wide Offer. Children are supported in school through: </w:t>
      </w:r>
    </w:p>
    <w:p w:rsidR="00B17F8A" w:rsidRDefault="00537E29">
      <w:pPr>
        <w:pStyle w:val="Heading1"/>
        <w:spacing w:after="199"/>
        <w:ind w:left="-5"/>
      </w:pPr>
      <w:r>
        <w:t xml:space="preserve">Quality First Teaching – </w:t>
      </w:r>
    </w:p>
    <w:p w:rsidR="00B17F8A" w:rsidRDefault="00537E29">
      <w:pPr>
        <w:ind w:left="-5"/>
      </w:pPr>
      <w:r>
        <w:t>In every class, the lessons are taught with each child’s needs in mind. Activities are differentiated in order that all children are appropriately challenge</w:t>
      </w:r>
      <w:r>
        <w:t>d but are able to participate at their level. In order to support children with SEND, class-based approaches may include: Alternatives forms of recording work; Visual prompts; Specialised equipment; Small group or individual teaching; Peer support; Extende</w:t>
      </w:r>
      <w:r>
        <w:t xml:space="preserve">d time for writing/ reading/maths tasks. </w:t>
      </w:r>
    </w:p>
    <w:p w:rsidR="00B17F8A" w:rsidRDefault="00537E29">
      <w:pPr>
        <w:pStyle w:val="Heading1"/>
        <w:ind w:left="-5"/>
      </w:pPr>
      <w:r>
        <w:lastRenderedPageBreak/>
        <w:t xml:space="preserve">Interventions – </w:t>
      </w:r>
    </w:p>
    <w:p w:rsidR="00B17F8A" w:rsidRDefault="00537E29">
      <w:pPr>
        <w:ind w:left="-5"/>
      </w:pPr>
      <w:r>
        <w:t xml:space="preserve">If a child needs a higher level of support that cannot be accommodated within Quality First Teaching, small group or individual interventions may be offered.  For children with more complex needs, </w:t>
      </w:r>
      <w:r>
        <w:t xml:space="preserve">a more personalised programme may be appropriate. This could include group or individual interventions on an academic or social level. Programmes used to support children include Forest schools, SEMH groups, Speech and Language personalised programmes and </w:t>
      </w:r>
      <w:proofErr w:type="spellStart"/>
      <w:r>
        <w:t>WellComm</w:t>
      </w:r>
      <w:proofErr w:type="spellEnd"/>
      <w:r>
        <w:t xml:space="preserve"> screener and support programme. </w:t>
      </w:r>
    </w:p>
    <w:p w:rsidR="00B17F8A" w:rsidRDefault="00537E29">
      <w:pPr>
        <w:pStyle w:val="Heading1"/>
        <w:ind w:left="-5"/>
      </w:pPr>
      <w:r>
        <w:t xml:space="preserve">Outside Agencies – </w:t>
      </w:r>
    </w:p>
    <w:p w:rsidR="00B17F8A" w:rsidRDefault="00537E29">
      <w:pPr>
        <w:spacing w:after="7"/>
        <w:ind w:left="-5"/>
      </w:pPr>
      <w:r>
        <w:t>For those with significant or complex needs, the school seeks the advice of specialists: Educational Psychologist; Speech and Language Therapist; Child and Adolescent Mental Health Team; Occupat</w:t>
      </w:r>
      <w:r>
        <w:t xml:space="preserve">ional Therapist; Paediatrics; </w:t>
      </w:r>
      <w:proofErr w:type="spellStart"/>
      <w:r>
        <w:t>Lancasterian</w:t>
      </w:r>
      <w:proofErr w:type="spellEnd"/>
      <w:r>
        <w:t xml:space="preserve"> </w:t>
      </w:r>
    </w:p>
    <w:p w:rsidR="00B17F8A" w:rsidRDefault="00537E29">
      <w:pPr>
        <w:ind w:left="-5"/>
      </w:pPr>
      <w:r>
        <w:t>Support Service; RHOSEY; The Grange Outreach support; Manchester Sensory Support Service. The school currently employs a Speech and Language Therapist and Education Psychologist to support and meet the needs of o</w:t>
      </w:r>
      <w:r>
        <w:t xml:space="preserve">ur pupils. </w:t>
      </w:r>
    </w:p>
    <w:p w:rsidR="00B17F8A" w:rsidRDefault="00537E29">
      <w:pPr>
        <w:ind w:left="-5"/>
      </w:pPr>
      <w:r>
        <w:t>Where additional levels of support are required, a personalised support plan is created, which will outline the provision available to each child and will be available to parents/carers. In addition, parents/carers will be fully involved and wi</w:t>
      </w:r>
      <w:r>
        <w:t xml:space="preserve">ll have the opportunity to discuss their child’s progress at regular parent/teacher meetings. There is also an opportunity to contact the school Inclusion Lead via email or in person to discuss pupil needs in more detail. </w:t>
      </w:r>
    </w:p>
    <w:p w:rsidR="00B17F8A" w:rsidRDefault="00537E29">
      <w:pPr>
        <w:shd w:val="clear" w:color="auto" w:fill="00B0F0"/>
        <w:spacing w:after="163" w:line="259" w:lineRule="auto"/>
        <w:ind w:left="-5"/>
      </w:pPr>
      <w:r>
        <w:rPr>
          <w:b/>
        </w:rPr>
        <w:t>We adapt the curriculum for pupil</w:t>
      </w:r>
      <w:r>
        <w:rPr>
          <w:b/>
        </w:rPr>
        <w:t xml:space="preserve">s with SEND in the following ways: </w:t>
      </w:r>
    </w:p>
    <w:p w:rsidR="00B17F8A" w:rsidRDefault="00537E29">
      <w:pPr>
        <w:ind w:left="-5"/>
      </w:pPr>
      <w:r>
        <w:t xml:space="preserve">All class teachers take responsibility for meeting the needs of all learners in their class by adapting the learning and provision. Where pupils have SEND, class teachers will be aware of the pupil’s strengths and areas of need, through their SEND Support </w:t>
      </w:r>
      <w:r>
        <w:t xml:space="preserve">Plan. </w:t>
      </w:r>
    </w:p>
    <w:p w:rsidR="00B17F8A" w:rsidRDefault="00537E29">
      <w:pPr>
        <w:ind w:left="-5"/>
      </w:pPr>
      <w:r>
        <w:t>Where learners are working at an attainment level below that of their peer group, class teachers adapt teaching to ensure that gaps in learners’ knowledge are covered, for example by revisiting objectives that are covered in previous year groups. We</w:t>
      </w:r>
      <w:r>
        <w:t xml:space="preserve"> aim to encourage independence in all learners and this is promoted by ensuring that independent work tasks are matched as far as possible to the strengths of the learners. For those learners who require a more specialist approach to learning, class teache</w:t>
      </w:r>
      <w:r>
        <w:t xml:space="preserve">rs are encouraged to discuss approaches to learning with specialist staff in and outside the school. For example, the Inclusion Lead or an external agency. </w:t>
      </w:r>
    </w:p>
    <w:p w:rsidR="00B17F8A" w:rsidRDefault="00537E29">
      <w:pPr>
        <w:shd w:val="clear" w:color="auto" w:fill="00B0F0"/>
        <w:spacing w:after="163" w:line="259" w:lineRule="auto"/>
        <w:ind w:left="-5"/>
      </w:pPr>
      <w:r>
        <w:rPr>
          <w:b/>
        </w:rPr>
        <w:t>We enable pupils with SEND to engage in the activities of the school, together with children who do</w:t>
      </w:r>
      <w:r>
        <w:rPr>
          <w:b/>
        </w:rPr>
        <w:t xml:space="preserve"> not have SEND, in the following ways: </w:t>
      </w:r>
    </w:p>
    <w:p w:rsidR="00B17F8A" w:rsidRDefault="00537E29">
      <w:pPr>
        <w:spacing w:after="7"/>
        <w:ind w:left="-5"/>
      </w:pPr>
      <w:r>
        <w:t xml:space="preserve">The school will always make all reasonable adjustments to ensure that all pupils with </w:t>
      </w:r>
    </w:p>
    <w:p w:rsidR="00B17F8A" w:rsidRDefault="00537E29">
      <w:pPr>
        <w:spacing w:after="161" w:line="259" w:lineRule="auto"/>
        <w:ind w:left="0" w:firstLine="0"/>
        <w:jc w:val="both"/>
      </w:pPr>
      <w:r>
        <w:t>SEND can take part in all whole school activities, as well as activities which enhance the wider life of the school. This could i</w:t>
      </w:r>
      <w:r>
        <w:t xml:space="preserve">nclude additional or different resources or equipment, changes to the environment, additional or specialist staffing and individual risk assessments. </w:t>
      </w:r>
    </w:p>
    <w:p w:rsidR="00B17F8A" w:rsidRDefault="00537E29">
      <w:pPr>
        <w:shd w:val="clear" w:color="auto" w:fill="00B0F0"/>
        <w:spacing w:after="163" w:line="259" w:lineRule="auto"/>
        <w:ind w:left="-5"/>
      </w:pPr>
      <w:r>
        <w:rPr>
          <w:b/>
        </w:rPr>
        <w:lastRenderedPageBreak/>
        <w:t xml:space="preserve">The following emotional, mental and social support is available for pupils with SEND: </w:t>
      </w:r>
    </w:p>
    <w:p w:rsidR="00B17F8A" w:rsidRDefault="00537E29">
      <w:pPr>
        <w:ind w:left="-5"/>
      </w:pPr>
      <w:r>
        <w:t>The school works w</w:t>
      </w:r>
      <w:r>
        <w:t xml:space="preserve">ith the Child and Adolescent Mental Health Service to gain advice and support wherever necessary. The SENCO and class teachers work closely with parents/carers in order to gain a clear picture of each child’s needs. </w:t>
      </w:r>
    </w:p>
    <w:p w:rsidR="00B17F8A" w:rsidRDefault="00537E29">
      <w:pPr>
        <w:ind w:left="-5"/>
      </w:pPr>
      <w:r>
        <w:t>We have 3 trained Mental Health First A</w:t>
      </w:r>
      <w:r>
        <w:t>iders who supports identified children.  A key part of the curriculum for children with additional SEMH needs is the forest school provision that the school offers. Children who need additional support are identified by class teachers.  The school supports</w:t>
      </w:r>
      <w:r>
        <w:t xml:space="preserve"> children via social skills groups, friendships groups, 1:1 talk time and forest schools. </w:t>
      </w:r>
    </w:p>
    <w:p w:rsidR="00B17F8A" w:rsidRDefault="00537E29">
      <w:pPr>
        <w:shd w:val="clear" w:color="auto" w:fill="00B0F0"/>
        <w:spacing w:after="163" w:line="259" w:lineRule="auto"/>
        <w:ind w:left="-5"/>
      </w:pPr>
      <w:r>
        <w:rPr>
          <w:b/>
        </w:rPr>
        <w:t xml:space="preserve">Safety and SEND </w:t>
      </w:r>
    </w:p>
    <w:p w:rsidR="00B17F8A" w:rsidRDefault="00537E29">
      <w:pPr>
        <w:ind w:left="-5"/>
      </w:pPr>
      <w:r>
        <w:t xml:space="preserve">As a school we recognise the key importance of keeping all our children safe in the community, online and within school. We recognise the additional risks and vulnerabilities that children SEND may have and ensure that all learning is appropriate to their </w:t>
      </w:r>
      <w:r>
        <w:t xml:space="preserve">level of understanding and revisited in a timely and consistent manner.  </w:t>
      </w:r>
    </w:p>
    <w:p w:rsidR="00B17F8A" w:rsidRDefault="00537E29">
      <w:pPr>
        <w:ind w:left="-5"/>
      </w:pPr>
      <w:r>
        <w:t xml:space="preserve">In addition to our in-house SEND team, we also use the following specialists: </w:t>
      </w:r>
    </w:p>
    <w:p w:rsidR="00B17F8A" w:rsidRDefault="00537E29">
      <w:pPr>
        <w:numPr>
          <w:ilvl w:val="0"/>
          <w:numId w:val="2"/>
        </w:numPr>
        <w:spacing w:after="7"/>
        <w:ind w:hanging="360"/>
      </w:pPr>
      <w:r>
        <w:t>Educational Psychology Service</w:t>
      </w:r>
      <w:r>
        <w:rPr>
          <w:b/>
        </w:rPr>
        <w:t xml:space="preserve"> </w:t>
      </w:r>
    </w:p>
    <w:p w:rsidR="00B17F8A" w:rsidRDefault="00537E29">
      <w:pPr>
        <w:numPr>
          <w:ilvl w:val="0"/>
          <w:numId w:val="2"/>
        </w:numPr>
        <w:spacing w:after="7"/>
        <w:ind w:hanging="360"/>
      </w:pPr>
      <w:r>
        <w:t>Speech and Language Therapists</w:t>
      </w:r>
      <w:r>
        <w:rPr>
          <w:b/>
        </w:rPr>
        <w:t xml:space="preserve"> </w:t>
      </w:r>
    </w:p>
    <w:p w:rsidR="00B17F8A" w:rsidRDefault="00537E29">
      <w:pPr>
        <w:numPr>
          <w:ilvl w:val="0"/>
          <w:numId w:val="2"/>
        </w:numPr>
        <w:spacing w:after="7"/>
        <w:ind w:hanging="360"/>
      </w:pPr>
      <w:r>
        <w:t>School Nurse/NHS</w:t>
      </w:r>
      <w:r>
        <w:rPr>
          <w:b/>
        </w:rPr>
        <w:t xml:space="preserve"> </w:t>
      </w:r>
    </w:p>
    <w:p w:rsidR="00B17F8A" w:rsidRDefault="00537E29">
      <w:pPr>
        <w:numPr>
          <w:ilvl w:val="0"/>
          <w:numId w:val="2"/>
        </w:numPr>
        <w:spacing w:after="7"/>
        <w:ind w:hanging="360"/>
      </w:pPr>
      <w:r>
        <w:t xml:space="preserve">Child and Adolescent </w:t>
      </w:r>
      <w:r>
        <w:t>Mental Health Service</w:t>
      </w:r>
      <w:r>
        <w:rPr>
          <w:b/>
        </w:rPr>
        <w:t xml:space="preserve"> </w:t>
      </w:r>
    </w:p>
    <w:p w:rsidR="00B17F8A" w:rsidRDefault="00537E29">
      <w:pPr>
        <w:numPr>
          <w:ilvl w:val="0"/>
          <w:numId w:val="2"/>
        </w:numPr>
        <w:spacing w:after="7"/>
        <w:ind w:hanging="360"/>
      </w:pPr>
      <w:r>
        <w:t>Occupational Therapists</w:t>
      </w:r>
      <w:r>
        <w:rPr>
          <w:b/>
        </w:rPr>
        <w:t xml:space="preserve"> </w:t>
      </w:r>
    </w:p>
    <w:p w:rsidR="00B17F8A" w:rsidRDefault="00537E29">
      <w:pPr>
        <w:numPr>
          <w:ilvl w:val="0"/>
          <w:numId w:val="2"/>
        </w:numPr>
        <w:spacing w:after="21"/>
        <w:ind w:hanging="360"/>
      </w:pPr>
      <w:r>
        <w:t>Manchester Sensory Support Services</w:t>
      </w:r>
      <w:r>
        <w:rPr>
          <w:b/>
        </w:rPr>
        <w:t xml:space="preserve"> </w:t>
      </w:r>
    </w:p>
    <w:p w:rsidR="00B17F8A" w:rsidRDefault="00537E29">
      <w:pPr>
        <w:numPr>
          <w:ilvl w:val="0"/>
          <w:numId w:val="2"/>
        </w:numPr>
        <w:spacing w:after="7"/>
        <w:ind w:hanging="360"/>
      </w:pPr>
      <w:r>
        <w:t>RHOSEY • The Grange Outreach Support</w:t>
      </w:r>
      <w:r>
        <w:rPr>
          <w:b/>
        </w:rPr>
        <w:t xml:space="preserve"> </w:t>
      </w:r>
    </w:p>
    <w:p w:rsidR="00B17F8A" w:rsidRDefault="00537E29">
      <w:pPr>
        <w:numPr>
          <w:ilvl w:val="0"/>
          <w:numId w:val="2"/>
        </w:numPr>
        <w:spacing w:after="7"/>
        <w:ind w:hanging="360"/>
      </w:pPr>
      <w:r>
        <w:t>Rodney House</w:t>
      </w:r>
      <w:r>
        <w:rPr>
          <w:b/>
        </w:rPr>
        <w:t xml:space="preserve"> </w:t>
      </w:r>
    </w:p>
    <w:p w:rsidR="00B17F8A" w:rsidRDefault="00537E29">
      <w:pPr>
        <w:numPr>
          <w:ilvl w:val="0"/>
          <w:numId w:val="2"/>
        </w:numPr>
        <w:spacing w:after="7"/>
        <w:ind w:hanging="360"/>
      </w:pPr>
      <w:proofErr w:type="spellStart"/>
      <w:r>
        <w:t>Bridgelea</w:t>
      </w:r>
      <w:proofErr w:type="spellEnd"/>
      <w:r>
        <w:t xml:space="preserve"> Outreach Support</w:t>
      </w:r>
      <w:r>
        <w:rPr>
          <w:b/>
        </w:rPr>
        <w:t xml:space="preserve"> </w:t>
      </w:r>
    </w:p>
    <w:p w:rsidR="00B17F8A" w:rsidRDefault="00537E29">
      <w:pPr>
        <w:numPr>
          <w:ilvl w:val="0"/>
          <w:numId w:val="2"/>
        </w:numPr>
        <w:spacing w:after="7"/>
        <w:ind w:hanging="360"/>
      </w:pPr>
      <w:r>
        <w:t>Manchester Occupational Therapy Services</w:t>
      </w:r>
      <w:r>
        <w:rPr>
          <w:b/>
        </w:rPr>
        <w:t xml:space="preserve"> </w:t>
      </w:r>
    </w:p>
    <w:p w:rsidR="00B17F8A" w:rsidRDefault="00537E29">
      <w:pPr>
        <w:numPr>
          <w:ilvl w:val="0"/>
          <w:numId w:val="2"/>
        </w:numPr>
        <w:spacing w:after="121"/>
        <w:ind w:hanging="360"/>
      </w:pPr>
      <w:r>
        <w:t>Speech Bubble</w:t>
      </w:r>
      <w:r>
        <w:rPr>
          <w:b/>
        </w:rPr>
        <w:t xml:space="preserve"> </w:t>
      </w:r>
    </w:p>
    <w:p w:rsidR="00B17F8A" w:rsidRDefault="00537E29">
      <w:pPr>
        <w:shd w:val="clear" w:color="auto" w:fill="00B0F0"/>
        <w:spacing w:after="163" w:line="259" w:lineRule="auto"/>
        <w:ind w:left="-5"/>
      </w:pPr>
      <w:r>
        <w:rPr>
          <w:b/>
        </w:rPr>
        <w:t xml:space="preserve">Our admission and transitional arrangements for pupils with SEND include: </w:t>
      </w:r>
    </w:p>
    <w:p w:rsidR="00B17F8A" w:rsidRDefault="00537E29">
      <w:pPr>
        <w:ind w:left="-5"/>
      </w:pPr>
      <w:r>
        <w:t xml:space="preserve">The school complies fully with the Equality Act 2010 and the School Admissions Code 2012 in relation to the arrangements for the admission of disabled pupils. </w:t>
      </w:r>
    </w:p>
    <w:p w:rsidR="00B17F8A" w:rsidRDefault="00537E29">
      <w:pPr>
        <w:ind w:left="-5"/>
      </w:pPr>
      <w:r>
        <w:t>Where a child is disa</w:t>
      </w:r>
      <w:r>
        <w:t xml:space="preserve">bled the school will make reasonable adjustments and provide auxiliary aids or services where reasonable to ensure that no disabled child is placed at a substantial disadvantage compared to other pupils </w:t>
      </w:r>
    </w:p>
    <w:p w:rsidR="00B17F8A" w:rsidRDefault="00537E29">
      <w:pPr>
        <w:ind w:left="-5"/>
      </w:pPr>
      <w:r>
        <w:t>When a child with SEND is transitioning to another s</w:t>
      </w:r>
      <w:r>
        <w:t xml:space="preserve">chool the Inclusion Lead will discuss transition arrangements (both in to school and onwards) with parents, other educational settings and external agencies and plan the most effective transition. </w:t>
      </w:r>
    </w:p>
    <w:p w:rsidR="00B17F8A" w:rsidRDefault="00537E29">
      <w:pPr>
        <w:ind w:left="-5"/>
      </w:pPr>
      <w:r>
        <w:t>This could include additional visits, a longer phased intr</w:t>
      </w:r>
      <w:r>
        <w:t xml:space="preserve">oduction, 1:1 support for a time (If needed) </w:t>
      </w:r>
    </w:p>
    <w:p w:rsidR="00B17F8A" w:rsidRDefault="00537E29">
      <w:pPr>
        <w:shd w:val="clear" w:color="auto" w:fill="00B0F0"/>
        <w:spacing w:after="163" w:line="259" w:lineRule="auto"/>
        <w:ind w:left="-5"/>
      </w:pPr>
      <w:r>
        <w:rPr>
          <w:b/>
        </w:rPr>
        <w:lastRenderedPageBreak/>
        <w:t xml:space="preserve">Our arrangements for ensuring the involvement of parents of children with SEND are as follows: </w:t>
      </w:r>
    </w:p>
    <w:p w:rsidR="00B17F8A" w:rsidRDefault="00537E29">
      <w:pPr>
        <w:ind w:left="-5"/>
      </w:pPr>
      <w:r>
        <w:t xml:space="preserve">The point of contact for all parents/carers of pupils with SEND is the Inclusion Lead– Jayne </w:t>
      </w:r>
      <w:proofErr w:type="spellStart"/>
      <w:r>
        <w:t>Stoba</w:t>
      </w:r>
      <w:proofErr w:type="spellEnd"/>
      <w:r>
        <w:t xml:space="preserve"> j.stoba@st-luke</w:t>
      </w:r>
      <w:r>
        <w:t xml:space="preserve">s.manchester.sch.uk </w:t>
      </w:r>
    </w:p>
    <w:p w:rsidR="00B17F8A" w:rsidRDefault="00537E29">
      <w:pPr>
        <w:ind w:left="-5"/>
      </w:pPr>
      <w:r>
        <w:t>Following identification of concerns by a class teacher, the SENCO and class teacher will meet with the pupil’s family for a timely discussion. This discussion focuses on the desired outcomes for the child and looks at what provision m</w:t>
      </w:r>
      <w:r>
        <w:t>ight be necessary to enable the child to reach those outcomes. The Inclusion Lead will also signpost the parent to any other agencies and sources of advice/support. Parents of pupils with SEND have regular meetings with their child’s class teacher to revie</w:t>
      </w:r>
      <w:r>
        <w:t xml:space="preserve">w their progress, their needs and to plan future provision. </w:t>
      </w:r>
    </w:p>
    <w:p w:rsidR="00B17F8A" w:rsidRDefault="00537E29">
      <w:pPr>
        <w:shd w:val="clear" w:color="auto" w:fill="00B0F0"/>
        <w:spacing w:after="163" w:line="259" w:lineRule="auto"/>
        <w:ind w:left="-5"/>
      </w:pPr>
      <w:r>
        <w:rPr>
          <w:b/>
        </w:rPr>
        <w:t xml:space="preserve">Our arrangements regarding complaints from parents of pupils with SEND are as follows: </w:t>
      </w:r>
    </w:p>
    <w:p w:rsidR="00B17F8A" w:rsidRDefault="00537E29">
      <w:pPr>
        <w:ind w:left="-5"/>
      </w:pPr>
      <w:r>
        <w:t>If you are not happy about your child’s provision and you would like to discuss further please do not hesit</w:t>
      </w:r>
      <w:r>
        <w:t xml:space="preserve">ate to contact the SENCO for further support. The SENCO, class teacher and parents will meet to discuss concerns and together formulate an action plan for next steps for the child. </w:t>
      </w:r>
    </w:p>
    <w:p w:rsidR="00B17F8A" w:rsidRDefault="00537E29">
      <w:pPr>
        <w:ind w:left="-5"/>
      </w:pPr>
      <w:r>
        <w:t xml:space="preserve">Please see the link to the Complaints Policy within the policy section of </w:t>
      </w:r>
      <w:r>
        <w:t xml:space="preserve">the school website if you wish to make a complaint: </w:t>
      </w:r>
    </w:p>
    <w:p w:rsidR="00B17F8A" w:rsidRDefault="00537E29">
      <w:pPr>
        <w:ind w:left="-5"/>
      </w:pPr>
      <w:r>
        <w:t xml:space="preserve">https://www.st-lukes.manchester.sch.uk/page/policies/141051 </w:t>
      </w:r>
    </w:p>
    <w:p w:rsidR="00B17F8A" w:rsidRDefault="00537E29">
      <w:pPr>
        <w:shd w:val="clear" w:color="auto" w:fill="00B0F0"/>
        <w:spacing w:after="191" w:line="259" w:lineRule="auto"/>
        <w:ind w:left="-5"/>
      </w:pPr>
      <w:r>
        <w:rPr>
          <w:b/>
        </w:rPr>
        <w:t xml:space="preserve">Parents of children with SEND may find the following support services helpful, in addition to the school’s offerings: </w:t>
      </w:r>
    </w:p>
    <w:p w:rsidR="00B17F8A" w:rsidRDefault="00537E29">
      <w:pPr>
        <w:ind w:left="-5"/>
      </w:pPr>
      <w:r>
        <w:t>Manchester’s local offe</w:t>
      </w:r>
      <w:r>
        <w:t xml:space="preserve">r, explaining what is available on a local authority basis, can be found using the following link: </w:t>
      </w:r>
    </w:p>
    <w:p w:rsidR="00B17F8A" w:rsidRDefault="00537E29">
      <w:pPr>
        <w:ind w:left="-5"/>
      </w:pPr>
      <w:r>
        <w:t xml:space="preserve">https://hsm.manchester.gov.uk/kb5/manchester/directory/localoffer.page?localofferc </w:t>
      </w:r>
      <w:proofErr w:type="spellStart"/>
      <w:r>
        <w:t>hannel</w:t>
      </w:r>
      <w:proofErr w:type="spellEnd"/>
      <w:r>
        <w:t xml:space="preserve">=0 </w:t>
      </w:r>
    </w:p>
    <w:p w:rsidR="00B17F8A" w:rsidRDefault="00537E29">
      <w:pPr>
        <w:spacing w:after="161" w:line="259" w:lineRule="auto"/>
        <w:ind w:left="-5"/>
      </w:pPr>
      <w:r>
        <w:rPr>
          <w:b/>
        </w:rPr>
        <w:t xml:space="preserve">Other links that may be useful include: </w:t>
      </w:r>
    </w:p>
    <w:p w:rsidR="00B17F8A" w:rsidRDefault="00537E29">
      <w:pPr>
        <w:spacing w:after="0"/>
        <w:ind w:left="-5" w:right="2064"/>
      </w:pPr>
      <w:r>
        <w:t>https://mft.nhs.uk/rmc</w:t>
      </w:r>
      <w:r>
        <w:t xml:space="preserve">h/services/camhs/ http://space4autism.com/ </w:t>
      </w:r>
    </w:p>
    <w:p w:rsidR="00B17F8A" w:rsidRDefault="00537E29">
      <w:pPr>
        <w:ind w:left="-5"/>
      </w:pPr>
      <w:r>
        <w:t xml:space="preserve">https://www.nhs.uk/livewell/childrenwithalearningdisability/pages/education.aspx https://youngminds.org.uk/ </w:t>
      </w:r>
    </w:p>
    <w:sectPr w:rsidR="00B17F8A">
      <w:footerReference w:type="even" r:id="rId11"/>
      <w:footerReference w:type="default" r:id="rId12"/>
      <w:footerReference w:type="first" r:id="rId13"/>
      <w:pgSz w:w="11906" w:h="16838"/>
      <w:pgMar w:top="1448" w:right="1449" w:bottom="1448" w:left="144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37E29">
      <w:pPr>
        <w:spacing w:after="0" w:line="240" w:lineRule="auto"/>
      </w:pPr>
      <w:r>
        <w:separator/>
      </w:r>
    </w:p>
  </w:endnote>
  <w:endnote w:type="continuationSeparator" w:id="0">
    <w:p w:rsidR="00000000" w:rsidRDefault="00537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F8A" w:rsidRDefault="00B17F8A">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F8A" w:rsidRDefault="00B17F8A">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F8A" w:rsidRDefault="00B17F8A">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F8A" w:rsidRDefault="00537E29">
    <w:pPr>
      <w:tabs>
        <w:tab w:val="center" w:pos="4442"/>
      </w:tabs>
      <w:spacing w:after="0" w:line="259" w:lineRule="auto"/>
      <w:ind w:left="0" w:firstLine="0"/>
    </w:pPr>
    <w:r>
      <w:rPr>
        <w:rFonts w:ascii="Calibri" w:eastAsia="Calibri" w:hAnsi="Calibri" w:cs="Calibri"/>
        <w:sz w:val="22"/>
      </w:rPr>
      <w:t xml:space="preserve"> </w:t>
    </w:r>
    <w:r>
      <w:rPr>
        <w:rFonts w:ascii="Calibri" w:eastAsia="Calibri" w:hAnsi="Calibri" w:cs="Calibri"/>
        <w:sz w:val="22"/>
      </w:rPr>
      <w:tab/>
      <w:t xml:space="preserve"> </w:t>
    </w:r>
    <w:r>
      <w:fldChar w:fldCharType="begin"/>
    </w:r>
    <w:r>
      <w:instrText xml:space="preserve"> PAGE   \* MERGEFORMAT </w:instrText>
    </w:r>
    <w:r>
      <w:fldChar w:fldCharType="separate"/>
    </w:r>
    <w:r>
      <w:rPr>
        <w:rFonts w:ascii="Calibri" w:eastAsia="Calibri" w:hAnsi="Calibri" w:cs="Calibri"/>
        <w:sz w:val="20"/>
      </w:rPr>
      <w:t>2</w:t>
    </w:r>
    <w:r>
      <w:rPr>
        <w:rFonts w:ascii="Calibri" w:eastAsia="Calibri" w:hAnsi="Calibri" w:cs="Calibri"/>
        <w:sz w:val="20"/>
      </w:rPr>
      <w:fldChar w:fldCharType="end"/>
    </w:r>
    <w:r>
      <w:rPr>
        <w:rFonts w:ascii="Calibri" w:eastAsia="Calibri" w:hAnsi="Calibri" w:cs="Calibri"/>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F8A" w:rsidRDefault="00537E29">
    <w:pPr>
      <w:tabs>
        <w:tab w:val="center" w:pos="4442"/>
      </w:tabs>
      <w:spacing w:after="0" w:line="259" w:lineRule="auto"/>
      <w:ind w:left="0" w:firstLine="0"/>
    </w:pPr>
    <w:r>
      <w:rPr>
        <w:rFonts w:ascii="Calibri" w:eastAsia="Calibri" w:hAnsi="Calibri" w:cs="Calibri"/>
        <w:sz w:val="22"/>
      </w:rPr>
      <w:t xml:space="preserve"> </w:t>
    </w:r>
    <w:r>
      <w:rPr>
        <w:rFonts w:ascii="Calibri" w:eastAsia="Calibri" w:hAnsi="Calibri" w:cs="Calibri"/>
        <w:sz w:val="22"/>
      </w:rPr>
      <w:tab/>
      <w:t xml:space="preserve"> </w:t>
    </w:r>
    <w:r>
      <w:fldChar w:fldCharType="begin"/>
    </w:r>
    <w:r>
      <w:instrText xml:space="preserve"> PAGE   \* MERGEFORMAT </w:instrText>
    </w:r>
    <w:r>
      <w:fldChar w:fldCharType="separate"/>
    </w:r>
    <w:r>
      <w:rPr>
        <w:rFonts w:ascii="Calibri" w:eastAsia="Calibri" w:hAnsi="Calibri" w:cs="Calibri"/>
        <w:sz w:val="20"/>
      </w:rPr>
      <w:t>2</w:t>
    </w:r>
    <w:r>
      <w:rPr>
        <w:rFonts w:ascii="Calibri" w:eastAsia="Calibri" w:hAnsi="Calibri" w:cs="Calibri"/>
        <w:sz w:val="20"/>
      </w:rPr>
      <w:fldChar w:fldCharType="end"/>
    </w:r>
    <w:r>
      <w:rPr>
        <w:rFonts w:ascii="Calibri" w:eastAsia="Calibri" w:hAnsi="Calibri" w:cs="Calibri"/>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F8A" w:rsidRDefault="00537E29">
    <w:pPr>
      <w:tabs>
        <w:tab w:val="center" w:pos="4442"/>
      </w:tabs>
      <w:spacing w:after="0" w:line="259" w:lineRule="auto"/>
      <w:ind w:left="0" w:firstLine="0"/>
    </w:pPr>
    <w:r>
      <w:rPr>
        <w:rFonts w:ascii="Calibri" w:eastAsia="Calibri" w:hAnsi="Calibri" w:cs="Calibri"/>
        <w:sz w:val="22"/>
      </w:rPr>
      <w:t xml:space="preserve"> </w:t>
    </w:r>
    <w:r>
      <w:rPr>
        <w:rFonts w:ascii="Calibri" w:eastAsia="Calibri" w:hAnsi="Calibri" w:cs="Calibri"/>
        <w:sz w:val="22"/>
      </w:rPr>
      <w:tab/>
      <w:t xml:space="preserve"> </w:t>
    </w:r>
    <w:r>
      <w:fldChar w:fldCharType="begin"/>
    </w:r>
    <w:r>
      <w:instrText xml:space="preserve"> PAGE   \* MERGEFORMAT </w:instrText>
    </w:r>
    <w:r>
      <w:fldChar w:fldCharType="separate"/>
    </w:r>
    <w:r>
      <w:rPr>
        <w:rFonts w:ascii="Calibri" w:eastAsia="Calibri" w:hAnsi="Calibri" w:cs="Calibri"/>
        <w:sz w:val="20"/>
      </w:rPr>
      <w:t>2</w:t>
    </w:r>
    <w:r>
      <w:rPr>
        <w:rFonts w:ascii="Calibri" w:eastAsia="Calibri" w:hAnsi="Calibri" w:cs="Calibri"/>
        <w:sz w:val="20"/>
      </w:rPr>
      <w:fldChar w:fldCharType="end"/>
    </w:r>
    <w:r>
      <w:rPr>
        <w:rFonts w:ascii="Calibri" w:eastAsia="Calibri" w:hAnsi="Calibri" w:cs="Calibr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37E29">
      <w:pPr>
        <w:spacing w:after="0" w:line="240" w:lineRule="auto"/>
      </w:pPr>
      <w:r>
        <w:separator/>
      </w:r>
    </w:p>
  </w:footnote>
  <w:footnote w:type="continuationSeparator" w:id="0">
    <w:p w:rsidR="00000000" w:rsidRDefault="00537E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82F09"/>
    <w:multiLevelType w:val="hybridMultilevel"/>
    <w:tmpl w:val="503A1AC8"/>
    <w:lvl w:ilvl="0" w:tplc="B090276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D24C2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4CFBC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9A07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981E0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1C0FF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722DC9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A2E6D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8C678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EAE7EC5"/>
    <w:multiLevelType w:val="hybridMultilevel"/>
    <w:tmpl w:val="5252A6F0"/>
    <w:lvl w:ilvl="0" w:tplc="D68EAB5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32469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72E41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3A3A3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6442E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236F0F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B89FB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2A4B0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53C74B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F8A"/>
    <w:rsid w:val="00537E29"/>
    <w:rsid w:val="00B17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D44DF"/>
  <w15:docId w15:val="{0ED3F5DF-768E-4177-A0A5-350672D94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8" w:line="252"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161"/>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1949</Words>
  <Characters>11113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St Lukes C of E</Company>
  <LinksUpToDate>false</LinksUpToDate>
  <CharactersWithSpaces>13036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Malik</dc:creator>
  <cp:keywords/>
  <cp:lastModifiedBy>N Malik</cp:lastModifiedBy>
  <cp:revision>2</cp:revision>
  <dcterms:created xsi:type="dcterms:W3CDTF">2025-10-14T09:24:00Z</dcterms:created>
  <dcterms:modified xsi:type="dcterms:W3CDTF">2025-10-14T09:24:00Z</dcterms:modified>
</cp:coreProperties>
</file>